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4CB" w:rsidRPr="007614CB" w:rsidRDefault="007614CB" w:rsidP="007614CB">
      <w:pPr>
        <w:shd w:val="clear" w:color="auto" w:fill="FFFFFF"/>
        <w:spacing w:before="144" w:after="288" w:line="345" w:lineRule="atLeast"/>
        <w:jc w:val="center"/>
        <w:rPr>
          <w:rFonts w:ascii="Lucida Sans Unicode" w:eastAsia="Times New Roman" w:hAnsi="Lucida Sans Unicode" w:cs="Lucida Sans Unicode"/>
          <w:b/>
          <w:color w:val="555555"/>
          <w:sz w:val="21"/>
          <w:szCs w:val="21"/>
          <w:lang w:eastAsia="ru-RU"/>
        </w:rPr>
      </w:pPr>
      <w:r w:rsidRPr="007614CB">
        <w:rPr>
          <w:rFonts w:ascii="Lucida Sans Unicode" w:eastAsia="Times New Roman" w:hAnsi="Lucida Sans Unicode" w:cs="Lucida Sans Unicode"/>
          <w:b/>
          <w:color w:val="555555"/>
          <w:sz w:val="21"/>
          <w:szCs w:val="21"/>
          <w:lang w:eastAsia="ru-RU"/>
        </w:rPr>
        <w:t>Принцип работы</w:t>
      </w:r>
      <w:r w:rsidRPr="007614CB">
        <w:rPr>
          <w:rFonts w:ascii="Lucida Sans Unicode" w:eastAsia="Times New Roman" w:hAnsi="Lucida Sans Unicode" w:cs="Lucida Sans Unicode"/>
          <w:b/>
          <w:color w:val="555555"/>
          <w:sz w:val="21"/>
          <w:szCs w:val="21"/>
          <w:lang w:val="en-US" w:eastAsia="ru-RU"/>
        </w:rPr>
        <w:t xml:space="preserve"> магнитного </w:t>
      </w:r>
      <w:r w:rsidRPr="007614CB">
        <w:rPr>
          <w:rFonts w:ascii="Lucida Sans Unicode" w:eastAsia="Times New Roman" w:hAnsi="Lucida Sans Unicode" w:cs="Lucida Sans Unicode"/>
          <w:b/>
          <w:color w:val="555555"/>
          <w:sz w:val="21"/>
          <w:szCs w:val="21"/>
          <w:lang w:eastAsia="ru-RU"/>
        </w:rPr>
        <w:t>стабилизатора</w:t>
      </w:r>
    </w:p>
    <w:p w:rsidR="007614CB" w:rsidRDefault="007614CB" w:rsidP="007614CB">
      <w:pPr>
        <w:shd w:val="clear" w:color="auto" w:fill="FFFFFF"/>
        <w:spacing w:before="144" w:after="288" w:line="345" w:lineRule="atLeast"/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</w:pP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t>Надлежащее регулирование - важный момент в выборе и проектировании импульсных источников питания.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lang w:eastAsia="ru-RU"/>
        </w:rPr>
        <w:t> 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В источниках питания с множеством выходов, где управлять нужно непосредственно каждым выходом, разработка может быть усложнена такими вещами как дополнительные схемы, радиаторы, больший размер, и т.д. Продолжающаяся потребность в более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lang w:eastAsia="ru-RU"/>
        </w:rPr>
        <w:t> 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компактных и надежных импульсных источниках питания пробудила возобновленный интерес в хорошо отлаженной методике управления - магнитный усилитель. Магнитный усилитель подразумевает более высокую плотность мощности, простую схему управления, очень хорошее регулирование, высокую частоту работы и высокую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lang w:eastAsia="ru-RU"/>
        </w:rPr>
        <w:t> 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производительность. Эта статья описывает использование магнитного усилителя в импульсных источниках питания. Для данного применения рекомендуются три основных материала сердечника :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 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* 1 mil Permalloy 80 - лента пермаллоя толщиной 0,0254мм.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* 1/2 mil Permalloy 80 - лента пермаллоя толщиной 0,0127мм.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* Аморфный материал на основе кобальта.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 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Используя такой сердечник с прямоугольной петлей гистерезиса, обеспечивается управляемая задержка в переднем фронте импульса во вторичной цепи трансформатора. Один или более выходов могут быть независимо и точно отрегулированы без потерь присущих линейным регуляторам. В случаях, когда электрические токи выходов высоки (более одного или двух ампер), преимущества регуляторов, основанных на насыщении сердечника, становятся более существенными.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 </w:t>
      </w:r>
      <w:r>
        <w:rPr>
          <w:rFonts w:ascii="Lucida Sans Unicode" w:eastAsia="Times New Roman" w:hAnsi="Lucida Sans Unicode" w:cs="Lucida Sans Unicode"/>
          <w:noProof/>
          <w:color w:val="555555"/>
          <w:sz w:val="21"/>
          <w:szCs w:val="21"/>
          <w:lang w:eastAsia="ru-RU"/>
        </w:rPr>
        <w:drawing>
          <wp:inline distT="0" distB="0" distL="0" distR="0">
            <wp:extent cx="6657975" cy="2962275"/>
            <wp:effectExtent l="19050" t="0" r="9525" b="0"/>
            <wp:docPr id="1" name="Рисунок 1" descr="http://www.rom.by/images/wiki/4/4e/Power_suppl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om.by/images/wiki/4/4e/Power_supply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4CB" w:rsidRDefault="007614CB" w:rsidP="007614CB">
      <w:pPr>
        <w:shd w:val="clear" w:color="auto" w:fill="FFFFFF"/>
        <w:spacing w:before="144" w:after="288" w:line="345" w:lineRule="atLeast"/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</w:pP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</w:r>
      <w:r w:rsidRPr="007614CB">
        <w:rPr>
          <w:rFonts w:ascii="Lucida Sans Unicode" w:eastAsia="Times New Roman" w:hAnsi="Lucida Sans Unicode" w:cs="Lucida Sans Unicode"/>
          <w:b/>
          <w:bCs/>
          <w:color w:val="555555"/>
          <w:sz w:val="21"/>
          <w:lang w:eastAsia="ru-RU"/>
        </w:rPr>
        <w:t>Рис. 1.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lang w:eastAsia="ru-RU"/>
        </w:rPr>
        <w:t> 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t>Типовая схема импульсного блока питания.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На рисунке 1 показана блок-схема типового многоканального блока, в то время как на рисунке 2 показана схема регулирования.</w:t>
      </w:r>
    </w:p>
    <w:p w:rsidR="007614CB" w:rsidRDefault="007614CB" w:rsidP="007614CB">
      <w:pPr>
        <w:shd w:val="clear" w:color="auto" w:fill="FFFFFF"/>
        <w:spacing w:before="144" w:after="288" w:line="345" w:lineRule="atLeast"/>
        <w:jc w:val="center"/>
        <w:rPr>
          <w:rFonts w:ascii="Lucida Sans Unicode" w:eastAsia="Times New Roman" w:hAnsi="Lucida Sans Unicode" w:cs="Lucida Sans Unicode"/>
          <w:b/>
          <w:bCs/>
          <w:color w:val="555555"/>
          <w:sz w:val="21"/>
          <w:lang w:eastAsia="ru-RU"/>
        </w:rPr>
      </w:pP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lastRenderedPageBreak/>
        <w:br/>
      </w:r>
      <w:r>
        <w:rPr>
          <w:rFonts w:ascii="Lucida Sans Unicode" w:eastAsia="Times New Roman" w:hAnsi="Lucida Sans Unicode" w:cs="Lucida Sans Unicode"/>
          <w:noProof/>
          <w:color w:val="555555"/>
          <w:sz w:val="21"/>
          <w:szCs w:val="21"/>
          <w:lang w:eastAsia="ru-RU"/>
        </w:rPr>
        <w:drawing>
          <wp:inline distT="0" distB="0" distL="0" distR="0">
            <wp:extent cx="5495925" cy="3800475"/>
            <wp:effectExtent l="19050" t="0" r="9525" b="0"/>
            <wp:docPr id="2" name="Рисунок 2" descr="http://www.rom.by/images/wiki/3/33/Regulation_schem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rom.by/images/wiki/3/33/Regulation_scheme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4CB" w:rsidRPr="007614CB" w:rsidRDefault="007614CB" w:rsidP="007614CB">
      <w:pPr>
        <w:shd w:val="clear" w:color="auto" w:fill="FFFFFF"/>
        <w:spacing w:before="144" w:after="288" w:line="345" w:lineRule="atLeast"/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</w:pP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</w:r>
      <w:r w:rsidRPr="007614CB">
        <w:rPr>
          <w:rFonts w:ascii="Lucida Sans Unicode" w:eastAsia="Times New Roman" w:hAnsi="Lucida Sans Unicode" w:cs="Lucida Sans Unicode"/>
          <w:b/>
          <w:bCs/>
          <w:color w:val="555555"/>
          <w:sz w:val="21"/>
          <w:lang w:eastAsia="ru-RU"/>
        </w:rPr>
        <w:t>Рис. 2.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t> Схема регулирования.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Для простоты примера показан прямоходовой тип преобразователя, но методика одинаково полезна в обратноходовом (flyback) и (push-pull) преобразователях. Осциллограммы, объясняющие принцип работы показаны на рисунке 2. В широтно-импульсном модуляторе (ШИМ) первичной шириной импульса управляют, измеряя 5В выход, сравнивая его с опорным, и используя сигнал ошибки для корректировки продолжительности импульса. Если бы не было никакого насыщаемого дросселя в канале, выход 15В был бы "наполовину отрегулирован",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lang w:eastAsia="ru-RU"/>
        </w:rPr>
        <w:t> 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используя основной канал управления который обеспечил бы линейное регулирование. Но тогда выходное напряжение будет зависеть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lang w:eastAsia="ru-RU"/>
        </w:rPr>
        <w:t> 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от нагрузки и температуры. Для обеспечения на выходе 15В постоянного напряжения,  среднее значение исправленной формы сигнала который подается на фильтр L, должно быть 15В.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lang w:eastAsia="ru-RU"/>
        </w:rPr>
        <w:t> 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Учитывая высоту импульса 50В и период повторения 10мкc, необходимая ширина положительного импульса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lang w:eastAsia="ru-RU"/>
        </w:rPr>
        <w:t> 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в точке e2 должна быть: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</w:r>
      <w:r w:rsidRPr="007614CB">
        <w:rPr>
          <w:rFonts w:ascii="Lucida Sans Unicode" w:eastAsia="Times New Roman" w:hAnsi="Lucida Sans Unicode" w:cs="Lucida Sans Unicode"/>
          <w:b/>
          <w:bCs/>
          <w:color w:val="555555"/>
          <w:sz w:val="21"/>
          <w:lang w:eastAsia="ru-RU"/>
        </w:rPr>
        <w:t>PW = (15В/50В)•10мкc = 3мкc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Поскольку входной импульс (e1) шириной 4мкc, насыщаемый дроссель должен задержать передний фронт импульса на 1 мкс. А так как амплитуда импульса 50В, мы можем сказать, что дроссель должен погасить 50В•1мкc, или 50 вольт-микросекунд. Чтобы это произошло, дроссель должен накопить это количество энергии в первой половине цикла и отдать это количество энергии во время каждой второй половины цикла. Осциллограмма в точке e2 иллюстрирует это. Когда на вход дросселя подается обратная полярность, диод CR1 открывается и позволяет усилителю ошибки A1, зафиксировать" напряжение после дросселя на уровне  -37.5В. Суть состоит в том, что дроссель подвергнут обратному напряжению 50В - 37.5В = 12.5В продолжительностью 4мкc, производя гашение накопленной энергии величиной: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lastRenderedPageBreak/>
        <w:t>/\ = 12,5•4 = 50 В•мкc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Т.е. ровно столько, сколько накопил.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Поскольку выходное напряжение изменяется, усилитель ошибки изменит это значение, чтобы гарантировать, что выход отрегулирован на напряжение 15В, несмотря на изменения напряжения выпрямителя, и т.д.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Осциллограмма первичного электрического тока, ip, показывает увеличение тока, когда дроссель насыщается и начинает передавать ток выходному фильтру. В этом есть незначительный плюс: первичный транзистор переключения уже включен и насыщен и следовательно выход 15В, не включает в себя потери переключения в транзисторе.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Расчет насыщаемого дросселя производится в три шага: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Расчет стабилизатора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 </w:t>
      </w:r>
    </w:p>
    <w:p w:rsidR="007614CB" w:rsidRDefault="007614CB" w:rsidP="007614CB">
      <w:pPr>
        <w:shd w:val="clear" w:color="auto" w:fill="FFFFFF"/>
        <w:spacing w:before="144" w:line="345" w:lineRule="atLeast"/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</w:pP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t> 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1. Определить выдержку в вольт-секундах.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Это необходимо, чтобы задержать передний фронт импульса и достигнуть необходимого выходного напряжения. Здесь, проектировщик должен решить, должен ли выход быть способен к независимому "выключению" (для защиты от короткого замыкания или выключатся от внешнего логического сигнала), или просто регулировать установленное значение.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Выдержка = Исключенная Область Импульса = /\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</w:r>
      <w:r w:rsidRPr="007614CB">
        <w:rPr>
          <w:rFonts w:ascii="Lucida Sans Unicode" w:eastAsia="Times New Roman" w:hAnsi="Lucida Sans Unicode" w:cs="Lucida Sans Unicode"/>
          <w:b/>
          <w:bCs/>
          <w:color w:val="555555"/>
          <w:sz w:val="21"/>
          <w:lang w:eastAsia="ru-RU"/>
        </w:rPr>
        <w:t>/\ = V • t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Где V = амплитуда импульса, а t = задержка переднего фронта.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</w:r>
      <w:r w:rsidRPr="007614CB">
        <w:rPr>
          <w:rFonts w:ascii="Lucida Sans Unicode" w:eastAsia="Times New Roman" w:hAnsi="Lucida Sans Unicode" w:cs="Lucida Sans Unicode"/>
          <w:b/>
          <w:bCs/>
          <w:color w:val="555555"/>
          <w:sz w:val="21"/>
          <w:lang w:eastAsia="ru-RU"/>
        </w:rPr>
        <w:t>Случай 1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lang w:eastAsia="ru-RU"/>
        </w:rPr>
        <w:t> 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t>- Выключение. Необходима выдержка, размером с область всего положительного импульса. В схеме на рисунке 2 выдержка была бы равна: 50 В • 4мкc = 200 вольт-микросекунд.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</w:r>
      <w:r w:rsidRPr="007614CB">
        <w:rPr>
          <w:rFonts w:ascii="Lucida Sans Unicode" w:eastAsia="Times New Roman" w:hAnsi="Lucida Sans Unicode" w:cs="Lucida Sans Unicode"/>
          <w:b/>
          <w:bCs/>
          <w:color w:val="555555"/>
          <w:sz w:val="21"/>
          <w:lang w:eastAsia="ru-RU"/>
        </w:rPr>
        <w:t>Случай 2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lang w:eastAsia="ru-RU"/>
        </w:rPr>
        <w:t> 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t>- Только регулирование . Предполагаем, что фильтр выхода спроектирован для непрерывной передачи энергии, дроссель должен только достаточно уменьшить входную ширину импульса, чтобы снабдить необходимым средним значением напряжения (равным выходному постоянному напряжению)  выходной фильтр.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lang w:eastAsia="ru-RU"/>
        </w:rPr>
        <w:t> 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В обоих случаях, нужен "запас" для переходных процессов по входу регулятора. Этот комментарий имеет отношение к выбору количества витков вторичной обмотки трансформатора, который питает регулятор. Этот выбор должен предшествовать вычислению вольт-секунд, которые должен выдержать дроссель. Например, мы намереваемся сделать диапазон управления &amp;plusmn;20%  т.е. позволить ширине импульса увеличиваться или уменьшаться на 20 %, когда ток нагрузки увеличивается или понижается. Чтобы позволить ширине импульса увеличиваться, входная ширина импульса должна быть на 20 % больше чем номинальный импульс на выходе дросселя. В зависимости от частоты работы и используемого сердечника, нужно позволить дополнительный запас из-за возрастания электрического тока в сердечнике после того, как он насыщен. Это происходит в процессе одной микросекунды. Все это подразумевает, что вторичное напряжение должно быть по крайней мере на 20 % выше, чем необходимо для установления расчетного выходного напряжения при отсутствии насыщаемого дросселя. Чтобы позволить ширине импульса уменьшаться, дроссель должен быть способен погасить дополнительное количество вольт-секунд, чтобы уменьшить ширину импульса на 20 % ниже номинального значения.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 xml:space="preserve">Тогда в цепи на рисунке 2, в режиме “только регулирование” потребовалась бы выдержка /\ =  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lastRenderedPageBreak/>
        <w:t>50В • 1мкc + 20 %, или 60 В • мкc.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2. Выбрать сердечник.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Есть два популярных метода определения размера необходимого сердечника. Каждый приводит к нахождению минимальной относительной габаритной мощности, WaAc, для обеспечения необходимой выдержки и выбора размера провода (который определяется повышением температуры). Один метод (1) начинается с расчета желаемого повышения рабочей температуры  и габаритной мощности, которая задает геометрию сердечника и коэффициент заполнения . Другой требует начального выбора размера провода, который должен быть оценен основываясь на предположении окончательной рабочей температуры. Хотя последний метод по общему признанию прагматичен, он популярен из-за своей простоты.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</w:r>
      <w:r w:rsidRPr="007614CB">
        <w:rPr>
          <w:rFonts w:ascii="Lucida Sans Unicode" w:eastAsia="Times New Roman" w:hAnsi="Lucida Sans Unicode" w:cs="Lucida Sans Unicode"/>
          <w:b/>
          <w:bCs/>
          <w:color w:val="555555"/>
          <w:sz w:val="21"/>
          <w:lang w:eastAsia="ru-RU"/>
        </w:rPr>
        <w:t>В последнем методе шаги следующие: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► Выбераем размер провода(его сечение, Аw) , основываясь на электрическом токе. Разумное значение - 0,322мм2 (500 c.m.) на ампер тока (среднеквадратичное значение) для повышения температуры от 30 до 40 градусов.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► Выбираем материал сердечника, чтобы определить плотность потока насыщения, Bm. В этом приложении  квадратный Permalloy 80 является хорошим выбором, так как у него низкие коэрцитивные силы и прямоугольная петля гистерезиса. Его плотность потока насыщения приблизительно равна 7000 гауссов (0,7 тесла).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► Выбираем коэффициент заполнения, K, используя значения от 0.3 до 0.5, для приложений с более низкими значениями мощности.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► Вычисляем WaAc следующим образом: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</w:r>
      <w:r>
        <w:rPr>
          <w:rFonts w:ascii="Lucida Sans Unicode" w:eastAsia="Times New Roman" w:hAnsi="Lucida Sans Unicode" w:cs="Lucida Sans Unicode"/>
          <w:noProof/>
          <w:color w:val="555555"/>
          <w:sz w:val="21"/>
          <w:szCs w:val="21"/>
          <w:lang w:eastAsia="ru-RU"/>
        </w:rPr>
        <w:drawing>
          <wp:inline distT="0" distB="0" distL="0" distR="0">
            <wp:extent cx="3276600" cy="514350"/>
            <wp:effectExtent l="19050" t="0" r="0" b="0"/>
            <wp:docPr id="3" name="Рисунок 3" descr="http://www.rom.by/images/wiki/d/dc/WaAc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rom.by/images/wiki/d/dc/WaAc_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► Выбираем сердечник из таблиц выбора, находящихся здесь (см. Источники) или на стр 58-61 каталога TWC-400 с по крайней мере таким же значением относительной габаритной мощности. При этом, должна быть выбрана толщина ленты, и значения в столбце WaAc (стр 58-61) должны быть изменены согласно примечанию 3 внизу страницы. Лента толщиной 0.0005 и 0.001 дюйма рекомендуются для частот до 100 кГц, с сердечниками на более тонких лентах, найденными в каталоге, возможна работа на более высоких частотах.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В схеме на рисунке 2 электрический ток во время проводимости сердечника равен 10A, с коэффициентом отношения - 15/50, или 0.3. Таким образом электрический ток равен: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lang w:eastAsia="ru-RU"/>
        </w:rPr>
        <w:t> 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(102 • 0.3)0,5 , или 5.5A. Соответствующий размер провода - с площадью поперечного сечения, Аw, равной 2581 c.m. (1,665мм) Напомним, что мы  используем режим: “только регулирование”.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lang w:eastAsia="ru-RU"/>
        </w:rPr>
        <w:t> 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WaAc будет следующим: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</w:r>
      <w:r>
        <w:rPr>
          <w:rFonts w:ascii="Lucida Sans Unicode" w:eastAsia="Times New Roman" w:hAnsi="Lucida Sans Unicode" w:cs="Lucida Sans Unicode"/>
          <w:noProof/>
          <w:color w:val="555555"/>
          <w:sz w:val="21"/>
          <w:szCs w:val="21"/>
          <w:lang w:eastAsia="ru-RU"/>
        </w:rPr>
        <w:drawing>
          <wp:inline distT="0" distB="0" distL="0" distR="0">
            <wp:extent cx="2733675" cy="800100"/>
            <wp:effectExtent l="19050" t="0" r="9525" b="0"/>
            <wp:docPr id="4" name="Рисунок 4" descr="http://www.rom.by/images/wiki/6/69/WaAc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rom.by/images/wiki/6/69/WaAc_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 xml:space="preserve">Отметим, что использовался коэффициент заполнения равный 0.1, так как размер провода является относительно большим. Так как частота преобразователя составляет 100 кГц, толщина ленты 0.0005”(0,0127мм) является, возможно, лучшим выбором. В консультации к таблице на странице 58, оценка WaAc должна быть заменена приблизительным значением 0.013/0.022 (типовой коэффициент сердечников с толщиной ленты 0.0005” и 0.002” ), согласно примечанию 3 внизу страницы. Самый удобный способ сделать это - изменить значение желательного WaAc, и 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lastRenderedPageBreak/>
        <w:t>затем найти соответствующий сердечник в таблице. Используя этот подход, указанное значение должно быть по крайней мере 0.011&amp;times;(0.022/0.013) • 106, или 0.019 • 106. Два логичных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lang w:eastAsia="ru-RU"/>
        </w:rPr>
        <w:t> 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кандидата - сердечники 5_374 и 5_063, WaAc которых (x 106) равна 0.028 и 0.026 соответственно. Для этого примера выбран сердечник 5_063 . Его площадь поперечного сечения, Ас, составляет 0.050см2, длина средней магнитной линии, МI, составляет 5.98см. Эти значения отмечены для дальнейшего использования.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3. Определить число витков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Число витков определено выдержкой (/\), для получения расчетной величины на выходе регулятора: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</w:r>
      <w:r>
        <w:rPr>
          <w:rFonts w:ascii="Lucida Sans Unicode" w:eastAsia="Times New Roman" w:hAnsi="Lucida Sans Unicode" w:cs="Lucida Sans Unicode"/>
          <w:noProof/>
          <w:color w:val="555555"/>
          <w:sz w:val="21"/>
          <w:szCs w:val="21"/>
          <w:lang w:eastAsia="ru-RU"/>
        </w:rPr>
        <w:drawing>
          <wp:inline distT="0" distB="0" distL="0" distR="0">
            <wp:extent cx="1733550" cy="504825"/>
            <wp:effectExtent l="19050" t="0" r="0" b="0"/>
            <wp:docPr id="5" name="Рисунок 5" descr="http://www.rom.by/images/wiki/a/a5/N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rom.by/images/wiki/a/a5/N_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Теперь канал управления может быть спроектирован. При этом, полезно оценить электрический ток, требуемый для размагничивания сердечника и таким образом вычислить средний ток управления, основываясь на коэффициенте нагрузки размагничивающего (отрицательной полярностью) входного импульса. Электрический ток связан с силой намагничивания следующим образом: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</w:r>
      <w:r>
        <w:rPr>
          <w:rFonts w:ascii="Lucida Sans Unicode" w:eastAsia="Times New Roman" w:hAnsi="Lucida Sans Unicode" w:cs="Lucida Sans Unicode"/>
          <w:noProof/>
          <w:color w:val="555555"/>
          <w:sz w:val="21"/>
          <w:szCs w:val="21"/>
          <w:lang w:eastAsia="ru-RU"/>
        </w:rPr>
        <w:drawing>
          <wp:inline distT="0" distB="0" distL="0" distR="0">
            <wp:extent cx="1790700" cy="561975"/>
            <wp:effectExtent l="19050" t="0" r="0" b="0"/>
            <wp:docPr id="6" name="Рисунок 6" descr="http://www.rom.by/images/wiki/4/40/Im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rom.by/images/wiki/4/40/Im_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H не просто коэрцитивная сила при постоянном токе, а скорее значение, соответствующее колебанию  потока и частоты, как показано на примере кривых на страницах 38 - 49 из каталога TWC-400. Как отмечено, это “эффект расширения петли” - увеличения коэрцитивной силы с частотой. Итак, используя схему на рисунке 2 и выбрав сердечник, необходимое число витков для него будет равно: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</w:r>
      <w:r>
        <w:rPr>
          <w:rFonts w:ascii="Lucida Sans Unicode" w:eastAsia="Times New Roman" w:hAnsi="Lucida Sans Unicode" w:cs="Lucida Sans Unicode"/>
          <w:noProof/>
          <w:color w:val="555555"/>
          <w:sz w:val="21"/>
          <w:szCs w:val="21"/>
          <w:lang w:eastAsia="ru-RU"/>
        </w:rPr>
        <w:drawing>
          <wp:inline distT="0" distB="0" distL="0" distR="0">
            <wp:extent cx="2552700" cy="514350"/>
            <wp:effectExtent l="19050" t="0" r="0" b="0"/>
            <wp:docPr id="7" name="Рисунок 7" descr="http://wiki.rom.by/images/4/45/N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iki.rom.by/images/4/45/N_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Завершая пример отметим, что электрический ток намагничивания вычислен следующим образом: Так как регулятору будет необходимо проходить по всей петле BH  за короткое время, кривая на странице 48 Каталога TWC-400 даст типичную оценку силы намагничивания. На частоте 100 кГц у кривой 1/2mil значение H = 0.215 эрстэд(3,67951 А/м).  Таким образом, у тока намагничивания будет значение: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</w:r>
      <w:r>
        <w:rPr>
          <w:rFonts w:ascii="Lucida Sans Unicode" w:eastAsia="Times New Roman" w:hAnsi="Lucida Sans Unicode" w:cs="Lucida Sans Unicode"/>
          <w:noProof/>
          <w:color w:val="555555"/>
          <w:sz w:val="21"/>
          <w:szCs w:val="21"/>
          <w:lang w:eastAsia="ru-RU"/>
        </w:rPr>
        <w:drawing>
          <wp:inline distT="0" distB="0" distL="0" distR="0">
            <wp:extent cx="2752725" cy="523875"/>
            <wp:effectExtent l="19050" t="0" r="9525" b="0"/>
            <wp:docPr id="8" name="Рисунок 8" descr="http://www.rom.by/images/wiki/e/ed/Im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rom.by/images/wiki/e/ed/Im_2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Альтернативная реализация цепи управления показана на рисунке 3.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► Цепь управления сбросом получает питание с выхода, обеспечивая "предварительную загрузку" -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lang w:eastAsia="ru-RU"/>
        </w:rPr>
        <w:t> 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средство предотвращения тока намагничивания дросселя при подъеме выходного напряжения на нулевой загрузке.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► Сердечник размагничивается источником тока, а не источником напряжения, чтобы минимизировать сдвиг фазы передаточной функции. В этой схеме Rа ухудшает проводимость транзистора, делая передаточную функцию более независимую от транзистора. Rb и Rc просто сдвигают уровень выхода усилителя, который является ненужным, если усилитель питается от напряжения выше выходного. 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lastRenderedPageBreak/>
        <w:t>► Цепи компенсации, Zf и Zi, могут быть спроектированы, используя методики для обычных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lang w:eastAsia="ru-RU"/>
        </w:rPr>
        <w:t> 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(buck-derived) регуляторов</w:t>
      </w:r>
    </w:p>
    <w:p w:rsidR="007614CB" w:rsidRDefault="007614CB" w:rsidP="007614CB">
      <w:pPr>
        <w:shd w:val="clear" w:color="auto" w:fill="FFFFFF"/>
        <w:spacing w:before="144" w:line="345" w:lineRule="atLeast"/>
        <w:jc w:val="center"/>
        <w:rPr>
          <w:rFonts w:ascii="Lucida Sans Unicode" w:eastAsia="Times New Roman" w:hAnsi="Lucida Sans Unicode" w:cs="Lucida Sans Unicode"/>
          <w:b/>
          <w:bCs/>
          <w:color w:val="555555"/>
          <w:sz w:val="21"/>
          <w:lang w:eastAsia="ru-RU"/>
        </w:rPr>
      </w:pP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</w:r>
      <w:r>
        <w:rPr>
          <w:rFonts w:ascii="Lucida Sans Unicode" w:eastAsia="Times New Roman" w:hAnsi="Lucida Sans Unicode" w:cs="Lucida Sans Unicode"/>
          <w:noProof/>
          <w:color w:val="555555"/>
          <w:sz w:val="21"/>
          <w:szCs w:val="21"/>
          <w:lang w:eastAsia="ru-RU"/>
        </w:rPr>
        <w:drawing>
          <wp:inline distT="0" distB="0" distL="0" distR="0">
            <wp:extent cx="6048375" cy="2457450"/>
            <wp:effectExtent l="19050" t="0" r="9525" b="0"/>
            <wp:docPr id="9" name="Рисунок 9" descr="http://www.rom.by/images/wiki/c/ce/Alternative_control_circui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rom.by/images/wiki/c/ce/Alternative_control_circuit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4CB" w:rsidRDefault="007614CB" w:rsidP="007614CB">
      <w:pPr>
        <w:shd w:val="clear" w:color="auto" w:fill="FFFFFF"/>
        <w:spacing w:before="144" w:line="345" w:lineRule="atLeast"/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</w:pP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</w:r>
      <w:r w:rsidRPr="007614CB">
        <w:rPr>
          <w:rFonts w:ascii="Lucida Sans Unicode" w:eastAsia="Times New Roman" w:hAnsi="Lucida Sans Unicode" w:cs="Lucida Sans Unicode"/>
          <w:b/>
          <w:bCs/>
          <w:color w:val="555555"/>
          <w:sz w:val="21"/>
          <w:lang w:eastAsia="ru-RU"/>
        </w:rPr>
        <w:t>Рис. 3.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t> Схема альтернативной реализации цепи управления.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Отметьте, однако, что у этой схемы фактически есть две цепи обратной связи: одна через усилитель ошибки, и вторая непосредственно от выхода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lang w:eastAsia="ru-RU"/>
        </w:rPr>
        <w:t> 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>через Rа и транзистор. Каждый канал схемы со средней точкой может быть стабилизирован тем же самым способом. Схема на рисунке 4 иллюстрирует это решение.</w:t>
      </w:r>
    </w:p>
    <w:p w:rsidR="007614CB" w:rsidRDefault="007614CB" w:rsidP="007614CB">
      <w:pPr>
        <w:shd w:val="clear" w:color="auto" w:fill="FFFFFF"/>
        <w:spacing w:before="144" w:line="345" w:lineRule="atLeast"/>
        <w:jc w:val="center"/>
        <w:rPr>
          <w:rFonts w:ascii="Lucida Sans Unicode" w:eastAsia="Times New Roman" w:hAnsi="Lucida Sans Unicode" w:cs="Lucida Sans Unicode"/>
          <w:b/>
          <w:bCs/>
          <w:color w:val="555555"/>
          <w:sz w:val="21"/>
          <w:lang w:eastAsia="ru-RU"/>
        </w:rPr>
      </w:pP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</w:r>
      <w:r>
        <w:rPr>
          <w:rFonts w:ascii="Lucida Sans Unicode" w:eastAsia="Times New Roman" w:hAnsi="Lucida Sans Unicode" w:cs="Lucida Sans Unicode"/>
          <w:noProof/>
          <w:color w:val="555555"/>
          <w:sz w:val="21"/>
          <w:szCs w:val="21"/>
          <w:lang w:eastAsia="ru-RU"/>
        </w:rPr>
        <w:drawing>
          <wp:inline distT="0" distB="0" distL="0" distR="0">
            <wp:extent cx="6105525" cy="2933700"/>
            <wp:effectExtent l="19050" t="0" r="9525" b="0"/>
            <wp:docPr id="10" name="Рисунок 10" descr="http://www.rom.by/images/wiki/4/45/Full-wave_saturable_core_regulat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rom.by/images/wiki/4/45/Full-wave_saturable_core_regulator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4CB" w:rsidRPr="007614CB" w:rsidRDefault="007614CB" w:rsidP="007614CB">
      <w:pPr>
        <w:shd w:val="clear" w:color="auto" w:fill="FFFFFF"/>
        <w:spacing w:before="144" w:line="345" w:lineRule="atLeast"/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</w:pP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</w:r>
      <w:r w:rsidRPr="007614CB">
        <w:rPr>
          <w:rFonts w:ascii="Lucida Sans Unicode" w:eastAsia="Times New Roman" w:hAnsi="Lucida Sans Unicode" w:cs="Lucida Sans Unicode"/>
          <w:b/>
          <w:bCs/>
          <w:color w:val="555555"/>
          <w:sz w:val="21"/>
          <w:lang w:eastAsia="ru-RU"/>
        </w:rPr>
        <w:t>Рис. 4.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lang w:eastAsia="ru-RU"/>
        </w:rPr>
        <w:t> 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t>Схема стабилизации со средней точкой.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br/>
        <w:t xml:space="preserve">Наконец, иногда полезно быть в состоянии передавать напряжение, требуемое для размагничивания, изменить его уровень, или заменить напряжение током. В этих случаях вторая обмотка может быть помещена на сердечник, с большим или меньшим числом витков чем в основной преобразующей обмотке. Например, обмотка управления с меньшим количеством </w:t>
      </w:r>
      <w:r w:rsidRPr="007614CB">
        <w:rPr>
          <w:rFonts w:ascii="Lucida Sans Unicode" w:eastAsia="Times New Roman" w:hAnsi="Lucida Sans Unicode" w:cs="Lucida Sans Unicode"/>
          <w:color w:val="555555"/>
          <w:sz w:val="21"/>
          <w:szCs w:val="21"/>
          <w:lang w:eastAsia="ru-RU"/>
        </w:rPr>
        <w:lastRenderedPageBreak/>
        <w:t>витков даст меньшие колебания напряжения, но потребует большего количества электрического тока управления чем основная обмотка.</w:t>
      </w:r>
    </w:p>
    <w:p w:rsidR="003C4E4D" w:rsidRDefault="003C4E4D"/>
    <w:sectPr w:rsidR="003C4E4D" w:rsidSect="007614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7614CB"/>
    <w:rsid w:val="003C4E4D"/>
    <w:rsid w:val="00761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E4D"/>
  </w:style>
  <w:style w:type="paragraph" w:styleId="1">
    <w:name w:val="heading 1"/>
    <w:basedOn w:val="a"/>
    <w:link w:val="10"/>
    <w:uiPriority w:val="9"/>
    <w:qFormat/>
    <w:rsid w:val="007614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14C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7614CB"/>
  </w:style>
  <w:style w:type="character" w:styleId="a3">
    <w:name w:val="Hyperlink"/>
    <w:basedOn w:val="a0"/>
    <w:uiPriority w:val="99"/>
    <w:semiHidden/>
    <w:unhideWhenUsed/>
    <w:rsid w:val="007614CB"/>
    <w:rPr>
      <w:color w:val="0000FF"/>
      <w:u w:val="single"/>
    </w:rPr>
  </w:style>
  <w:style w:type="character" w:customStyle="1" w:styleId="updown-current-score">
    <w:name w:val="updown-current-score"/>
    <w:basedOn w:val="a0"/>
    <w:rsid w:val="007614CB"/>
  </w:style>
  <w:style w:type="paragraph" w:styleId="a4">
    <w:name w:val="Normal (Web)"/>
    <w:basedOn w:val="a"/>
    <w:uiPriority w:val="99"/>
    <w:semiHidden/>
    <w:unhideWhenUsed/>
    <w:rsid w:val="00761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614C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61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14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1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2142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501735">
              <w:marLeft w:val="0"/>
              <w:marRight w:val="0"/>
              <w:marTop w:val="4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2397">
                  <w:marLeft w:val="0"/>
                  <w:marRight w:val="0"/>
                  <w:marTop w:val="4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724141">
              <w:marLeft w:val="0"/>
              <w:marRight w:val="0"/>
              <w:marTop w:val="144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9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8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theme" Target="theme/theme1.xml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1869</Words>
  <Characters>10657</Characters>
  <Application>Microsoft Office Word</Application>
  <DocSecurity>0</DocSecurity>
  <Lines>88</Lines>
  <Paragraphs>25</Paragraphs>
  <ScaleCrop>false</ScaleCrop>
  <Company>DNA Project</Company>
  <LinksUpToDate>false</LinksUpToDate>
  <CharactersWithSpaces>12501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DNA7 X64</cp:lastModifiedBy>
  <cp:revision>1</cp:revision>
  <dcterms:created xsi:type="dcterms:W3CDTF">2012-01-26T07:35:00Z</dcterms:created>
  <dcterms:modified xsi:type="dcterms:W3CDTF">2012-01-26T07:39:00Z</dcterms:modified>
</cp:coreProperties>
</file>